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92E" w:rsidRPr="00A8592E" w:rsidRDefault="00A8592E" w:rsidP="00A8592E">
      <w:pPr>
        <w:spacing w:line="360" w:lineRule="auto"/>
        <w:jc w:val="both"/>
        <w:rPr>
          <w:rStyle w:val="03Fliesstext01"/>
          <w:rFonts w:ascii="Arial" w:hAnsi="Arial" w:cs="Arial"/>
          <w:b/>
          <w:sz w:val="21"/>
          <w:szCs w:val="21"/>
        </w:rPr>
      </w:pPr>
      <w:r w:rsidRPr="00A8592E">
        <w:rPr>
          <w:rStyle w:val="03Fliesstext01"/>
          <w:rFonts w:ascii="Arial" w:hAnsi="Arial" w:cs="Arial"/>
          <w:b/>
          <w:sz w:val="21"/>
          <w:szCs w:val="21"/>
        </w:rPr>
        <w:t xml:space="preserve">Holzwohnbau Seestadt </w:t>
      </w:r>
      <w:proofErr w:type="spellStart"/>
      <w:r w:rsidRPr="00A8592E">
        <w:rPr>
          <w:rStyle w:val="03Fliesstext01"/>
          <w:rFonts w:ascii="Arial" w:hAnsi="Arial" w:cs="Arial"/>
          <w:b/>
          <w:sz w:val="21"/>
          <w:szCs w:val="21"/>
        </w:rPr>
        <w:t>Aspern</w:t>
      </w:r>
      <w:proofErr w:type="spellEnd"/>
    </w:p>
    <w:p w:rsidR="00A8592E" w:rsidRPr="00A8592E" w:rsidRDefault="00A8592E" w:rsidP="00A8592E">
      <w:pPr>
        <w:jc w:val="both"/>
        <w:rPr>
          <w:rFonts w:cs="Arial"/>
          <w:szCs w:val="21"/>
        </w:rPr>
      </w:pPr>
    </w:p>
    <w:p w:rsidR="00A8592E" w:rsidRPr="00A8592E" w:rsidRDefault="00A8592E" w:rsidP="00A8592E">
      <w:pPr>
        <w:jc w:val="both"/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Adresse: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1220 Wien, Gisela-</w:t>
      </w:r>
      <w:proofErr w:type="spellStart"/>
      <w:r w:rsidRPr="00A8592E">
        <w:rPr>
          <w:rFonts w:cs="Arial"/>
          <w:szCs w:val="21"/>
        </w:rPr>
        <w:t>Legath</w:t>
      </w:r>
      <w:proofErr w:type="spellEnd"/>
      <w:r w:rsidRPr="00A8592E">
        <w:rPr>
          <w:rFonts w:cs="Arial"/>
          <w:szCs w:val="21"/>
        </w:rPr>
        <w:t>-Gasse 3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1220 Wien, Ilse-Arlt-Straße 4 und 6</w:t>
      </w: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1220 Wien, Maria –Tusch-Straße 6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1220 Wien, Mimi-</w:t>
      </w:r>
      <w:proofErr w:type="spellStart"/>
      <w:r w:rsidRPr="00A8592E">
        <w:rPr>
          <w:rFonts w:cs="Arial"/>
          <w:szCs w:val="21"/>
        </w:rPr>
        <w:t>Grossberg</w:t>
      </w:r>
      <w:proofErr w:type="spellEnd"/>
      <w:r w:rsidRPr="00A8592E">
        <w:rPr>
          <w:rFonts w:cs="Arial"/>
          <w:szCs w:val="21"/>
        </w:rPr>
        <w:t>-Gasse 3 und 5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 xml:space="preserve">Architektur:  </w:t>
      </w:r>
      <w:r w:rsidRPr="00A8592E">
        <w:rPr>
          <w:rFonts w:cs="Arial"/>
          <w:szCs w:val="21"/>
        </w:rPr>
        <w:t xml:space="preserve">Berger+Parkkinen Architekten und </w:t>
      </w:r>
      <w:proofErr w:type="spellStart"/>
      <w:r w:rsidRPr="00A8592E">
        <w:rPr>
          <w:rFonts w:cs="Arial"/>
          <w:szCs w:val="21"/>
        </w:rPr>
        <w:t>querkraft</w:t>
      </w:r>
      <w:proofErr w:type="spellEnd"/>
      <w:r w:rsidRPr="00A8592E">
        <w:rPr>
          <w:rFonts w:cs="Arial"/>
          <w:szCs w:val="21"/>
        </w:rPr>
        <w:t xml:space="preserve"> </w:t>
      </w:r>
      <w:proofErr w:type="spellStart"/>
      <w:r w:rsidRPr="00A8592E">
        <w:rPr>
          <w:rFonts w:cs="Arial"/>
          <w:szCs w:val="21"/>
        </w:rPr>
        <w:t>architekten</w:t>
      </w:r>
      <w:proofErr w:type="spellEnd"/>
      <w:r w:rsidRPr="00A8592E">
        <w:rPr>
          <w:rFonts w:cs="Arial"/>
          <w:szCs w:val="21"/>
        </w:rPr>
        <w:t xml:space="preserve"> 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b/>
          <w:szCs w:val="21"/>
        </w:rPr>
        <w:t>Projektteam Berger+Parkkinen Architekten:</w:t>
      </w:r>
      <w:r w:rsidRPr="00A8592E">
        <w:rPr>
          <w:rFonts w:cs="Arial"/>
          <w:szCs w:val="21"/>
        </w:rPr>
        <w:t xml:space="preserve"> 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Projektleiter: Lucas Schuh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Matthias </w:t>
      </w:r>
      <w:proofErr w:type="spellStart"/>
      <w:r w:rsidRPr="00A8592E">
        <w:rPr>
          <w:rFonts w:cs="Arial"/>
          <w:szCs w:val="21"/>
        </w:rPr>
        <w:t>Bachl</w:t>
      </w:r>
      <w:proofErr w:type="spellEnd"/>
      <w:r w:rsidRPr="00A8592E">
        <w:rPr>
          <w:rFonts w:cs="Arial"/>
          <w:szCs w:val="21"/>
        </w:rPr>
        <w:t xml:space="preserve">, Jurgis </w:t>
      </w:r>
      <w:proofErr w:type="spellStart"/>
      <w:r w:rsidRPr="00A8592E">
        <w:rPr>
          <w:rFonts w:cs="Arial"/>
          <w:szCs w:val="21"/>
        </w:rPr>
        <w:t>Gecys</w:t>
      </w:r>
      <w:proofErr w:type="spellEnd"/>
      <w:r w:rsidRPr="00A8592E">
        <w:rPr>
          <w:rFonts w:cs="Arial"/>
          <w:szCs w:val="21"/>
        </w:rPr>
        <w:t xml:space="preserve">, Jure </w:t>
      </w:r>
      <w:proofErr w:type="spellStart"/>
      <w:r w:rsidRPr="00A8592E">
        <w:rPr>
          <w:rFonts w:cs="Arial"/>
          <w:szCs w:val="21"/>
        </w:rPr>
        <w:t>Kozin</w:t>
      </w:r>
      <w:proofErr w:type="spellEnd"/>
      <w:r w:rsidRPr="00A8592E">
        <w:rPr>
          <w:rFonts w:cs="Arial"/>
          <w:szCs w:val="21"/>
        </w:rPr>
        <w:t xml:space="preserve">, Marijana </w:t>
      </w:r>
      <w:proofErr w:type="spellStart"/>
      <w:r w:rsidRPr="00A8592E">
        <w:rPr>
          <w:rFonts w:cs="Arial"/>
          <w:szCs w:val="21"/>
        </w:rPr>
        <w:t>Vjesticová</w:t>
      </w:r>
      <w:proofErr w:type="spellEnd"/>
      <w:r w:rsidRPr="00A8592E">
        <w:rPr>
          <w:rFonts w:cs="Arial"/>
          <w:szCs w:val="21"/>
        </w:rPr>
        <w:t xml:space="preserve">, Stefanie </w:t>
      </w:r>
      <w:proofErr w:type="spellStart"/>
      <w:r w:rsidRPr="00A8592E">
        <w:rPr>
          <w:rFonts w:cs="Arial"/>
          <w:szCs w:val="21"/>
        </w:rPr>
        <w:t>Sent</w:t>
      </w:r>
      <w:proofErr w:type="spellEnd"/>
    </w:p>
    <w:p w:rsidR="00A8592E" w:rsidRPr="00A8592E" w:rsidRDefault="00A8592E" w:rsidP="00A8592E">
      <w:pPr>
        <w:rPr>
          <w:rFonts w:cs="Arial"/>
          <w:color w:val="FF0000"/>
          <w:szCs w:val="21"/>
        </w:rPr>
      </w:pP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b/>
          <w:szCs w:val="21"/>
        </w:rPr>
        <w:t xml:space="preserve">Projektteam </w:t>
      </w:r>
      <w:proofErr w:type="spellStart"/>
      <w:r w:rsidRPr="00A8592E">
        <w:rPr>
          <w:rFonts w:cs="Arial"/>
          <w:b/>
          <w:szCs w:val="21"/>
        </w:rPr>
        <w:t>querkraft</w:t>
      </w:r>
      <w:proofErr w:type="spellEnd"/>
      <w:r w:rsidRPr="00A8592E">
        <w:rPr>
          <w:rFonts w:cs="Arial"/>
          <w:b/>
          <w:szCs w:val="21"/>
        </w:rPr>
        <w:t xml:space="preserve"> </w:t>
      </w:r>
      <w:proofErr w:type="spellStart"/>
      <w:r w:rsidRPr="00A8592E">
        <w:rPr>
          <w:rFonts w:cs="Arial"/>
          <w:b/>
          <w:szCs w:val="21"/>
        </w:rPr>
        <w:t>architekten</w:t>
      </w:r>
      <w:proofErr w:type="spellEnd"/>
      <w:r w:rsidRPr="00A8592E">
        <w:rPr>
          <w:rFonts w:cs="Arial"/>
          <w:b/>
          <w:szCs w:val="21"/>
        </w:rPr>
        <w:t>:</w:t>
      </w:r>
      <w:r w:rsidRPr="00A8592E">
        <w:rPr>
          <w:rFonts w:cs="Arial"/>
          <w:szCs w:val="21"/>
        </w:rPr>
        <w:t xml:space="preserve">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Projektleiter: Robert </w:t>
      </w:r>
      <w:proofErr w:type="spellStart"/>
      <w:r w:rsidRPr="00A8592E">
        <w:rPr>
          <w:rFonts w:cs="Arial"/>
          <w:szCs w:val="21"/>
        </w:rPr>
        <w:t>Haranza</w:t>
      </w:r>
      <w:proofErr w:type="spellEnd"/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Dominique </w:t>
      </w:r>
      <w:proofErr w:type="spellStart"/>
      <w:r w:rsidRPr="00A8592E">
        <w:rPr>
          <w:rFonts w:cs="Arial"/>
          <w:szCs w:val="21"/>
        </w:rPr>
        <w:t>Dinies</w:t>
      </w:r>
      <w:proofErr w:type="spellEnd"/>
      <w:r w:rsidRPr="00A8592E">
        <w:rPr>
          <w:rFonts w:cs="Arial"/>
          <w:szCs w:val="21"/>
        </w:rPr>
        <w:t xml:space="preserve">, Georg Falkenhahn, Sandor </w:t>
      </w:r>
      <w:proofErr w:type="spellStart"/>
      <w:r w:rsidRPr="00A8592E">
        <w:rPr>
          <w:rFonts w:cs="Arial"/>
          <w:szCs w:val="21"/>
        </w:rPr>
        <w:t>Guba</w:t>
      </w:r>
      <w:proofErr w:type="spellEnd"/>
      <w:r w:rsidRPr="00A8592E">
        <w:rPr>
          <w:rFonts w:cs="Arial"/>
          <w:szCs w:val="21"/>
        </w:rPr>
        <w:t xml:space="preserve">, Bernhard Mayer, Tim </w:t>
      </w:r>
      <w:proofErr w:type="spellStart"/>
      <w:r w:rsidRPr="00A8592E">
        <w:rPr>
          <w:rFonts w:cs="Arial"/>
          <w:szCs w:val="21"/>
        </w:rPr>
        <w:t>Stahlhut</w:t>
      </w:r>
      <w:proofErr w:type="spellEnd"/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 xml:space="preserve">Bauherr: 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EBG Gemeinnützige Ein- und Mehrfamilienhäuser Baugenossenschaft reg. </w:t>
      </w:r>
      <w:proofErr w:type="spellStart"/>
      <w:r w:rsidRPr="00A8592E">
        <w:rPr>
          <w:rFonts w:cs="Arial"/>
          <w:szCs w:val="21"/>
        </w:rPr>
        <w:t>Gen.m.b.H</w:t>
      </w:r>
      <w:proofErr w:type="spellEnd"/>
      <w:r w:rsidRPr="00A8592E">
        <w:rPr>
          <w:rFonts w:cs="Arial"/>
          <w:szCs w:val="21"/>
        </w:rPr>
        <w:t>, Wien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Fachplaner: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Landschaftsarchitektur: </w:t>
      </w:r>
      <w:r w:rsidRPr="00A8592E">
        <w:rPr>
          <w:rFonts w:cs="Arial"/>
          <w:szCs w:val="21"/>
        </w:rPr>
        <w:tab/>
      </w:r>
      <w:proofErr w:type="spellStart"/>
      <w:r w:rsidRPr="00A8592E">
        <w:rPr>
          <w:rFonts w:cs="Arial"/>
          <w:szCs w:val="21"/>
        </w:rPr>
        <w:t>idealice</w:t>
      </w:r>
      <w:proofErr w:type="spellEnd"/>
      <w:r w:rsidRPr="00A8592E">
        <w:rPr>
          <w:rFonts w:cs="Arial"/>
          <w:szCs w:val="21"/>
        </w:rPr>
        <w:t>, Wien</w:t>
      </w:r>
      <w:r w:rsidRPr="00A8592E">
        <w:rPr>
          <w:rFonts w:cs="Arial"/>
          <w:szCs w:val="21"/>
        </w:rPr>
        <w:br/>
        <w:t xml:space="preserve">Statik: 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 xml:space="preserve">Lackner + </w:t>
      </w:r>
      <w:proofErr w:type="spellStart"/>
      <w:r w:rsidRPr="00A8592E">
        <w:rPr>
          <w:rFonts w:cs="Arial"/>
          <w:szCs w:val="21"/>
        </w:rPr>
        <w:t>Raml</w:t>
      </w:r>
      <w:proofErr w:type="spellEnd"/>
      <w:r w:rsidRPr="00A8592E">
        <w:rPr>
          <w:rFonts w:cs="Arial"/>
          <w:szCs w:val="21"/>
        </w:rPr>
        <w:t>, Villach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 xml:space="preserve">Haustechnik: 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 xml:space="preserve">TB </w:t>
      </w:r>
      <w:proofErr w:type="spellStart"/>
      <w:r w:rsidR="00A8592E" w:rsidRPr="00A8592E">
        <w:rPr>
          <w:rFonts w:cs="Arial"/>
          <w:szCs w:val="21"/>
        </w:rPr>
        <w:t>Obkircher</w:t>
      </w:r>
      <w:proofErr w:type="spellEnd"/>
      <w:r w:rsidR="00A8592E" w:rsidRPr="00A8592E">
        <w:rPr>
          <w:rFonts w:cs="Arial"/>
          <w:szCs w:val="21"/>
        </w:rPr>
        <w:t>, Wien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>Bauphysik: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>Holzforschung Austria, Wien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 xml:space="preserve">Brandschutz: 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proofErr w:type="spellStart"/>
      <w:r w:rsidR="00A8592E" w:rsidRPr="00A8592E">
        <w:rPr>
          <w:rFonts w:cs="Arial"/>
          <w:szCs w:val="21"/>
        </w:rPr>
        <w:t>BrandRat</w:t>
      </w:r>
      <w:proofErr w:type="spellEnd"/>
      <w:r w:rsidR="00A8592E" w:rsidRPr="00A8592E">
        <w:rPr>
          <w:rFonts w:cs="Arial"/>
          <w:szCs w:val="21"/>
        </w:rPr>
        <w:t xml:space="preserve"> ZT GmbH, Wien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Holzbau: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 xml:space="preserve">LC Buildings GmbH, Wien 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 xml:space="preserve">Versickerung: 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>ZT-</w:t>
      </w:r>
      <w:proofErr w:type="spellStart"/>
      <w:r w:rsidR="00A8592E" w:rsidRPr="00A8592E">
        <w:rPr>
          <w:rFonts w:cs="Arial"/>
          <w:szCs w:val="21"/>
        </w:rPr>
        <w:t>Schattowitz</w:t>
      </w:r>
      <w:proofErr w:type="spellEnd"/>
      <w:r w:rsidR="00A8592E" w:rsidRPr="00A8592E">
        <w:rPr>
          <w:rFonts w:cs="Arial"/>
          <w:szCs w:val="21"/>
        </w:rPr>
        <w:t>, Wien</w:t>
      </w:r>
    </w:p>
    <w:p w:rsidR="00A8592E" w:rsidRPr="00A8592E" w:rsidRDefault="00A8592E" w:rsidP="00A8592E">
      <w:pPr>
        <w:rPr>
          <w:rFonts w:cs="Arial"/>
          <w:color w:val="FF0000"/>
          <w:szCs w:val="21"/>
        </w:rPr>
      </w:pP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r w:rsidRPr="00A8592E">
        <w:rPr>
          <w:rFonts w:cs="Arial"/>
          <w:color w:val="FF0000"/>
          <w:szCs w:val="21"/>
        </w:rPr>
        <w:tab/>
      </w: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 xml:space="preserve">Ausführende Firma: 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 xml:space="preserve">Baufirma:  </w:t>
      </w:r>
      <w:r>
        <w:rPr>
          <w:rFonts w:cs="Arial"/>
          <w:szCs w:val="21"/>
        </w:rPr>
        <w:tab/>
      </w:r>
      <w:r>
        <w:rPr>
          <w:rFonts w:cs="Arial"/>
          <w:szCs w:val="21"/>
        </w:rPr>
        <w:tab/>
      </w:r>
      <w:proofErr w:type="spellStart"/>
      <w:r w:rsidR="00A8592E" w:rsidRPr="00A8592E">
        <w:rPr>
          <w:rFonts w:cs="Arial"/>
          <w:szCs w:val="21"/>
        </w:rPr>
        <w:t>Porr</w:t>
      </w:r>
      <w:proofErr w:type="spellEnd"/>
      <w:r w:rsidR="00A8592E" w:rsidRPr="00A8592E">
        <w:rPr>
          <w:rFonts w:cs="Arial"/>
          <w:szCs w:val="21"/>
        </w:rPr>
        <w:t xml:space="preserve"> Bau GmbH, Wien</w:t>
      </w:r>
      <w:r w:rsidR="00A8592E" w:rsidRPr="00A8592E"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ab/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Holzbau: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</w:r>
      <w:proofErr w:type="spellStart"/>
      <w:r w:rsidRPr="00A8592E">
        <w:rPr>
          <w:rFonts w:cs="Arial"/>
          <w:szCs w:val="21"/>
        </w:rPr>
        <w:t>Weissenseer</w:t>
      </w:r>
      <w:proofErr w:type="spellEnd"/>
      <w:r w:rsidRPr="00A8592E">
        <w:rPr>
          <w:rFonts w:cs="Arial"/>
          <w:szCs w:val="21"/>
        </w:rPr>
        <w:t xml:space="preserve"> Holz-System-Bau GmbH, </w:t>
      </w:r>
      <w:proofErr w:type="spellStart"/>
      <w:r w:rsidRPr="00A8592E">
        <w:rPr>
          <w:rFonts w:cs="Arial"/>
          <w:szCs w:val="21"/>
        </w:rPr>
        <w:t>Greifenburg</w:t>
      </w:r>
      <w:proofErr w:type="spellEnd"/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Bauträgerwettbewerb:  </w:t>
      </w:r>
      <w:r w:rsidRPr="00A8592E">
        <w:rPr>
          <w:rFonts w:cs="Arial"/>
          <w:szCs w:val="21"/>
        </w:rPr>
        <w:tab/>
        <w:t xml:space="preserve">2011 bis 2012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Planungsbegi</w:t>
      </w:r>
      <w:r w:rsidR="00597E28">
        <w:rPr>
          <w:rFonts w:cs="Arial"/>
          <w:szCs w:val="21"/>
        </w:rPr>
        <w:t>nn:</w:t>
      </w:r>
      <w:r w:rsidR="00597E28">
        <w:rPr>
          <w:rFonts w:cs="Arial"/>
          <w:szCs w:val="21"/>
        </w:rPr>
        <w:tab/>
      </w:r>
      <w:r w:rsidR="00597E28">
        <w:rPr>
          <w:rFonts w:cs="Arial"/>
          <w:szCs w:val="21"/>
        </w:rPr>
        <w:tab/>
        <w:t>August 2012</w:t>
      </w:r>
      <w:r w:rsidR="00597E28">
        <w:rPr>
          <w:rFonts w:cs="Arial"/>
          <w:szCs w:val="21"/>
        </w:rPr>
        <w:br/>
        <w:t xml:space="preserve">Baubeginn:  </w:t>
      </w:r>
      <w:r w:rsidR="00597E28">
        <w:rPr>
          <w:rFonts w:cs="Arial"/>
          <w:szCs w:val="21"/>
        </w:rPr>
        <w:tab/>
      </w:r>
      <w:r w:rsidR="00597E28">
        <w:rPr>
          <w:rFonts w:cs="Arial"/>
          <w:szCs w:val="21"/>
        </w:rPr>
        <w:tab/>
      </w:r>
      <w:r w:rsidRPr="00A8592E">
        <w:rPr>
          <w:rFonts w:cs="Arial"/>
          <w:szCs w:val="21"/>
        </w:rPr>
        <w:t>September 2013</w:t>
      </w:r>
      <w:r w:rsidRPr="00A8592E">
        <w:rPr>
          <w:rFonts w:cs="Arial"/>
          <w:szCs w:val="21"/>
        </w:rPr>
        <w:br/>
        <w:t xml:space="preserve">Fertigstellung: 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Juli 2015</w:t>
      </w:r>
    </w:p>
    <w:p w:rsidR="00A8592E" w:rsidRPr="00A8592E" w:rsidRDefault="00A8592E" w:rsidP="00A8592E">
      <w:pPr>
        <w:rPr>
          <w:rFonts w:cs="Arial"/>
          <w:noProof/>
          <w:szCs w:val="21"/>
        </w:rPr>
      </w:pPr>
      <w:r w:rsidRPr="00A8592E">
        <w:rPr>
          <w:rFonts w:cs="Arial"/>
          <w:b/>
          <w:szCs w:val="21"/>
        </w:rPr>
        <w:br w:type="column"/>
      </w:r>
      <w:r w:rsidR="00A602E9" w:rsidRPr="00A8592E">
        <w:rPr>
          <w:rFonts w:cs="Arial"/>
          <w:noProof/>
          <w:szCs w:val="21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6350</wp:posOffset>
                </wp:positionH>
                <wp:positionV relativeFrom="paragraph">
                  <wp:posOffset>-205105</wp:posOffset>
                </wp:positionV>
                <wp:extent cx="5307330" cy="1343025"/>
                <wp:effectExtent l="7620" t="9525" r="952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7330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Auszeichnungen:</w:t>
                            </w:r>
                          </w:p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Nominierung  Wiener Wohnbaupreis 2019</w:t>
                            </w:r>
                          </w:p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Nominierung Staatspreis für Architektur und Nachhaltigkeit 2017</w:t>
                            </w:r>
                          </w:p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klimaaktiv Gold 2017</w:t>
                            </w:r>
                          </w:p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proofErr w:type="spellStart"/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Caparol</w:t>
                            </w:r>
                            <w:proofErr w:type="spellEnd"/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 xml:space="preserve"> Architekturpreis 2016: Farbe – Struktur – Oberfläche, 2. Preis</w:t>
                            </w:r>
                          </w:p>
                          <w:p w:rsidR="00A8592E" w:rsidRPr="00597E28" w:rsidRDefault="00A8592E" w:rsidP="00A8592E">
                            <w:pPr>
                              <w:rPr>
                                <w:rFonts w:cs="Arial"/>
                                <w:b/>
                                <w:szCs w:val="21"/>
                              </w:rPr>
                            </w:pPr>
                            <w:r w:rsidRPr="00597E28">
                              <w:rPr>
                                <w:rFonts w:cs="Arial"/>
                                <w:b/>
                                <w:szCs w:val="21"/>
                              </w:rPr>
                              <w:t>AIT Award 2016, Kategorie „Bezahlbares Wohnen“, 2. Preis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.5pt;margin-top:-16.15pt;width:417.9pt;height:10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">
                <v:textbox>
                  <w:txbxContent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r w:rsidRPr="00597E28">
                        <w:rPr>
                          <w:rFonts w:cs="Arial"/>
                          <w:b/>
                          <w:szCs w:val="21"/>
                        </w:rPr>
                        <w:t>Auszeichnungen:</w:t>
                      </w:r>
                    </w:p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r w:rsidRPr="00597E28">
                        <w:rPr>
                          <w:rFonts w:cs="Arial"/>
                          <w:b/>
                          <w:szCs w:val="21"/>
                        </w:rPr>
                        <w:t>Nominierung  Wiener Wohnbaupreis 2019</w:t>
                      </w:r>
                    </w:p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r w:rsidRPr="00597E28">
                        <w:rPr>
                          <w:rFonts w:cs="Arial"/>
                          <w:b/>
                          <w:szCs w:val="21"/>
                        </w:rPr>
                        <w:t>Nominierung Staatspreis für Architektur und Nachhaltigkeit 2017</w:t>
                      </w:r>
                    </w:p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r w:rsidRPr="00597E28">
                        <w:rPr>
                          <w:rFonts w:cs="Arial"/>
                          <w:b/>
                          <w:szCs w:val="21"/>
                        </w:rPr>
                        <w:t>klimaaktiv Gold 2017</w:t>
                      </w:r>
                    </w:p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proofErr w:type="spellStart"/>
                      <w:r w:rsidRPr="00597E28">
                        <w:rPr>
                          <w:rFonts w:cs="Arial"/>
                          <w:b/>
                          <w:szCs w:val="21"/>
                        </w:rPr>
                        <w:t>Caparol</w:t>
                      </w:r>
                      <w:proofErr w:type="spellEnd"/>
                      <w:r w:rsidRPr="00597E28">
                        <w:rPr>
                          <w:rFonts w:cs="Arial"/>
                          <w:b/>
                          <w:szCs w:val="21"/>
                        </w:rPr>
                        <w:t xml:space="preserve"> Architekturpreis 2016: Farbe – Struktur – Oberfläche, 2. Preis</w:t>
                      </w:r>
                    </w:p>
                    <w:p w:rsidR="00A8592E" w:rsidRPr="00597E28" w:rsidRDefault="00A8592E" w:rsidP="00A8592E">
                      <w:pPr>
                        <w:rPr>
                          <w:rFonts w:cs="Arial"/>
                          <w:b/>
                          <w:szCs w:val="21"/>
                        </w:rPr>
                      </w:pPr>
                      <w:r w:rsidRPr="00597E28">
                        <w:rPr>
                          <w:rFonts w:cs="Arial"/>
                          <w:b/>
                          <w:szCs w:val="21"/>
                        </w:rPr>
                        <w:t>AIT Award 2016, Kategorie „Bezahlbares Wohnen“, 2. Preis</w:t>
                      </w:r>
                    </w:p>
                  </w:txbxContent>
                </v:textbox>
              </v:shape>
            </w:pict>
          </mc:Fallback>
        </mc:AlternateContent>
      </w:r>
    </w:p>
    <w:p w:rsidR="00A8592E" w:rsidRPr="00A8592E" w:rsidRDefault="00A8592E" w:rsidP="00A8592E">
      <w:pPr>
        <w:rPr>
          <w:rFonts w:cs="Arial"/>
          <w:b/>
          <w:szCs w:val="21"/>
        </w:rPr>
      </w:pPr>
    </w:p>
    <w:p w:rsidR="00A602E9" w:rsidRDefault="00A602E9" w:rsidP="00A8592E">
      <w:pPr>
        <w:rPr>
          <w:rFonts w:cs="Arial"/>
          <w:b/>
          <w:szCs w:val="21"/>
        </w:rPr>
      </w:pPr>
    </w:p>
    <w:p w:rsidR="00A602E9" w:rsidRDefault="00A602E9" w:rsidP="00A8592E">
      <w:pPr>
        <w:rPr>
          <w:rFonts w:cs="Arial"/>
          <w:b/>
          <w:szCs w:val="21"/>
        </w:rPr>
      </w:pPr>
    </w:p>
    <w:p w:rsidR="00A602E9" w:rsidRDefault="00A602E9" w:rsidP="00A8592E">
      <w:pPr>
        <w:rPr>
          <w:rFonts w:cs="Arial"/>
          <w:b/>
          <w:szCs w:val="21"/>
        </w:rPr>
      </w:pPr>
    </w:p>
    <w:p w:rsidR="00A602E9" w:rsidRDefault="00A602E9" w:rsidP="00A8592E">
      <w:pPr>
        <w:rPr>
          <w:rFonts w:cs="Arial"/>
          <w:b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Gebäudedaten: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Wohneinheiten: 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213</w:t>
      </w:r>
    </w:p>
    <w:p w:rsidR="00A8592E" w:rsidRPr="00A8592E" w:rsidRDefault="00597E28" w:rsidP="00A8592E">
      <w:pPr>
        <w:rPr>
          <w:rFonts w:cs="Arial"/>
          <w:szCs w:val="21"/>
        </w:rPr>
      </w:pPr>
      <w:r>
        <w:rPr>
          <w:rFonts w:cs="Arial"/>
          <w:szCs w:val="21"/>
        </w:rPr>
        <w:t>Geschoßflächenzahl:</w:t>
      </w:r>
      <w:r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>2,5</w:t>
      </w:r>
      <w:r w:rsidR="00A8592E" w:rsidRPr="00A8592E">
        <w:rPr>
          <w:rFonts w:cs="Arial"/>
          <w:szCs w:val="21"/>
        </w:rPr>
        <w:br/>
        <w:t xml:space="preserve">Wohnungsgrößen: </w:t>
      </w:r>
      <w:r w:rsidR="00A8592E" w:rsidRPr="00A8592E"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ab/>
        <w:t>Ein- bis Fünfzimmer, 42 bis 110 m²</w:t>
      </w:r>
      <w:r w:rsidR="00A8592E" w:rsidRPr="00A8592E">
        <w:rPr>
          <w:rFonts w:cs="Arial"/>
          <w:szCs w:val="21"/>
        </w:rPr>
        <w:br/>
        <w:t xml:space="preserve">Wohnnutzfläche:  </w:t>
      </w:r>
      <w:r w:rsidR="00A8592E" w:rsidRPr="00A8592E"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ab/>
        <w:t>14.680 m²</w:t>
      </w:r>
      <w:r w:rsidR="00A8592E" w:rsidRPr="00A8592E">
        <w:rPr>
          <w:rFonts w:cs="Arial"/>
          <w:szCs w:val="21"/>
        </w:rPr>
        <w:br/>
        <w:t xml:space="preserve">Geschäftsfläche:  </w:t>
      </w:r>
      <w:r w:rsidR="00A8592E" w:rsidRPr="00A8592E">
        <w:rPr>
          <w:rFonts w:cs="Arial"/>
          <w:szCs w:val="21"/>
        </w:rPr>
        <w:tab/>
      </w:r>
      <w:r w:rsidR="00A8592E" w:rsidRPr="00A8592E">
        <w:rPr>
          <w:rFonts w:cs="Arial"/>
          <w:szCs w:val="21"/>
        </w:rPr>
        <w:tab/>
        <w:t xml:space="preserve">1.009 m²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Bruttorauminhalt: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130.479 m³</w:t>
      </w:r>
      <w:r w:rsidRPr="00A8592E">
        <w:rPr>
          <w:rFonts w:cs="Arial"/>
          <w:szCs w:val="21"/>
        </w:rPr>
        <w:br/>
        <w:t>Bruttogeschoße oberirdisch: </w:t>
      </w:r>
      <w:r w:rsidR="00597E28">
        <w:rPr>
          <w:rFonts w:cs="Arial"/>
          <w:szCs w:val="21"/>
        </w:rPr>
        <w:t xml:space="preserve">  </w:t>
      </w:r>
      <w:r w:rsidRPr="00A8592E">
        <w:rPr>
          <w:rFonts w:cs="Arial"/>
          <w:szCs w:val="21"/>
        </w:rPr>
        <w:t>19.600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Bruttogrundfläche: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37.439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Nettogrundfläche: 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33.375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Hauptnutzfläche:</w:t>
      </w:r>
      <w:r w:rsidRPr="00A8592E">
        <w:rPr>
          <w:rFonts w:cs="Arial"/>
          <w:szCs w:val="21"/>
        </w:rPr>
        <w:tab/>
      </w:r>
      <w:r w:rsidRPr="00A8592E">
        <w:rPr>
          <w:rFonts w:cs="Arial"/>
          <w:szCs w:val="21"/>
        </w:rPr>
        <w:tab/>
        <w:t>15.689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Bebaute F</w:t>
      </w:r>
      <w:r w:rsidR="00597E28">
        <w:rPr>
          <w:rFonts w:cs="Arial"/>
          <w:szCs w:val="21"/>
        </w:rPr>
        <w:t xml:space="preserve">läche: </w:t>
      </w:r>
      <w:r w:rsidR="00597E28">
        <w:rPr>
          <w:rFonts w:cs="Arial"/>
          <w:szCs w:val="21"/>
        </w:rPr>
        <w:tab/>
      </w:r>
      <w:r w:rsidR="00597E28">
        <w:rPr>
          <w:rFonts w:cs="Arial"/>
          <w:szCs w:val="21"/>
        </w:rPr>
        <w:tab/>
        <w:t>3.783 m²</w:t>
      </w:r>
      <w:r w:rsidR="00597E28">
        <w:rPr>
          <w:rFonts w:cs="Arial"/>
          <w:szCs w:val="21"/>
        </w:rPr>
        <w:br/>
        <w:t xml:space="preserve">Bauplatz:  </w:t>
      </w:r>
      <w:r w:rsidR="00597E28">
        <w:rPr>
          <w:rFonts w:cs="Arial"/>
          <w:szCs w:val="21"/>
        </w:rPr>
        <w:tab/>
      </w:r>
      <w:r w:rsidR="00597E28">
        <w:rPr>
          <w:rFonts w:cs="Arial"/>
          <w:szCs w:val="21"/>
        </w:rPr>
        <w:tab/>
      </w:r>
      <w:r w:rsidRPr="00A8592E">
        <w:rPr>
          <w:rFonts w:cs="Arial"/>
          <w:szCs w:val="21"/>
        </w:rPr>
        <w:t>7.731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Fahrradstellplätze: </w:t>
      </w:r>
      <w:r w:rsidR="00597E28">
        <w:rPr>
          <w:rFonts w:cs="Arial"/>
          <w:szCs w:val="21"/>
        </w:rPr>
        <w:tab/>
      </w:r>
      <w:r w:rsidR="00597E28">
        <w:rPr>
          <w:rFonts w:cs="Arial"/>
          <w:szCs w:val="21"/>
        </w:rPr>
        <w:tab/>
      </w:r>
      <w:r w:rsidRPr="00A8592E">
        <w:rPr>
          <w:rFonts w:cs="Arial"/>
          <w:szCs w:val="21"/>
        </w:rPr>
        <w:t xml:space="preserve">491 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Zentrale Tiefgarage für 5 Baufelder: PKW-Stellplätze: 413</w:t>
      </w:r>
    </w:p>
    <w:p w:rsidR="00A8592E" w:rsidRPr="00A8592E" w:rsidRDefault="00A8592E" w:rsidP="00A8592E">
      <w:pPr>
        <w:rPr>
          <w:rFonts w:cs="Arial"/>
          <w:color w:val="FF0000"/>
          <w:szCs w:val="21"/>
        </w:rPr>
      </w:pP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Fassadenfläche Holzbau (netto): ca. 8.000 m²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Durchschnittlicher Heizwärmebedarf: 14,7 kWh/ m²a nach OIB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Gebäudeklasse: GB IV g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Forschungsprojekt: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ASCR </w:t>
      </w:r>
      <w:proofErr w:type="spellStart"/>
      <w:r w:rsidRPr="00A8592E">
        <w:rPr>
          <w:rFonts w:cs="Arial"/>
          <w:szCs w:val="21"/>
        </w:rPr>
        <w:t>Aspern</w:t>
      </w:r>
      <w:proofErr w:type="spellEnd"/>
      <w:r w:rsidRPr="00A8592E">
        <w:rPr>
          <w:rFonts w:cs="Arial"/>
          <w:szCs w:val="21"/>
        </w:rPr>
        <w:t xml:space="preserve"> Smart City </w:t>
      </w:r>
      <w:proofErr w:type="spellStart"/>
      <w:r w:rsidRPr="00A8592E">
        <w:rPr>
          <w:rFonts w:cs="Arial"/>
          <w:szCs w:val="21"/>
        </w:rPr>
        <w:t>Resarch</w:t>
      </w:r>
      <w:proofErr w:type="spellEnd"/>
      <w:r w:rsidRPr="00A8592E">
        <w:rPr>
          <w:rFonts w:cs="Arial"/>
          <w:szCs w:val="21"/>
        </w:rPr>
        <w:t xml:space="preserve"> – </w:t>
      </w:r>
      <w:r w:rsidRPr="00A8592E">
        <w:rPr>
          <w:rFonts w:cs="Arial"/>
          <w:b/>
          <w:szCs w:val="21"/>
        </w:rPr>
        <w:t>Teilnahme der Mieter freiwillig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Siemens  44,1%, Wien Energie 29,95%, Wiener Netz 20%, Wirtschaftsagentur Wien 4,66%,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Wien MA 3420 1,29%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Energiesysteme:</w:t>
      </w:r>
      <w:r w:rsidRPr="00A8592E">
        <w:rPr>
          <w:rFonts w:cs="Arial"/>
          <w:b/>
          <w:szCs w:val="21"/>
        </w:rPr>
        <w:tab/>
      </w:r>
    </w:p>
    <w:p w:rsidR="00A8592E" w:rsidRPr="00A8592E" w:rsidRDefault="00A8592E" w:rsidP="00A8592E">
      <w:pPr>
        <w:ind w:left="2832" w:hanging="2832"/>
        <w:rPr>
          <w:rFonts w:cs="Arial"/>
          <w:szCs w:val="21"/>
        </w:rPr>
      </w:pPr>
      <w:r w:rsidRPr="00A8592E">
        <w:rPr>
          <w:rFonts w:cs="Arial"/>
          <w:i/>
          <w:szCs w:val="21"/>
        </w:rPr>
        <w:t>Brunnenwärmepumpen</w:t>
      </w:r>
      <w:r w:rsidRPr="00A8592E">
        <w:rPr>
          <w:rFonts w:cs="Arial"/>
          <w:szCs w:val="21"/>
        </w:rPr>
        <w:t xml:space="preserve">  ( 2 Entnahmebrunnen ) </w:t>
      </w:r>
    </w:p>
    <w:p w:rsidR="00A8592E" w:rsidRPr="00A8592E" w:rsidRDefault="00A8592E" w:rsidP="00A8592E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>ausreichend für die Gesamtversorgung Heizung /Warmwasser</w:t>
      </w:r>
    </w:p>
    <w:p w:rsidR="00A8592E" w:rsidRPr="00A8592E" w:rsidRDefault="00A8592E" w:rsidP="00A8592E">
      <w:pPr>
        <w:ind w:left="2832" w:hanging="2832"/>
        <w:rPr>
          <w:rFonts w:cs="Arial"/>
          <w:szCs w:val="21"/>
        </w:rPr>
      </w:pPr>
      <w:r w:rsidRPr="00A8592E">
        <w:rPr>
          <w:rFonts w:cs="Arial"/>
          <w:i/>
          <w:szCs w:val="21"/>
        </w:rPr>
        <w:t>Luftwärmepumpen</w:t>
      </w:r>
      <w:r w:rsidRPr="00A8592E">
        <w:rPr>
          <w:rFonts w:cs="Arial"/>
          <w:szCs w:val="21"/>
        </w:rPr>
        <w:t xml:space="preserve"> ( 30.000m³ Tiefgaragenvolumen )</w:t>
      </w:r>
    </w:p>
    <w:p w:rsidR="00597E28" w:rsidRDefault="00A8592E" w:rsidP="00A8592E">
      <w:pPr>
        <w:ind w:left="2832" w:hanging="2832"/>
        <w:rPr>
          <w:rFonts w:cs="Arial"/>
          <w:szCs w:val="21"/>
        </w:rPr>
      </w:pPr>
      <w:r w:rsidRPr="00A8592E">
        <w:rPr>
          <w:rFonts w:cs="Arial"/>
          <w:i/>
          <w:szCs w:val="21"/>
        </w:rPr>
        <w:t>Erdkollektor</w:t>
      </w:r>
      <w:r w:rsidRPr="00A8592E">
        <w:rPr>
          <w:rFonts w:cs="Arial"/>
          <w:szCs w:val="21"/>
        </w:rPr>
        <w:t xml:space="preserve"> ( Rücksprung UG2_ 81 Erdsonden</w:t>
      </w:r>
      <w:r w:rsidR="00597E28">
        <w:rPr>
          <w:rFonts w:cs="Arial"/>
          <w:szCs w:val="21"/>
        </w:rPr>
        <w:t xml:space="preserve"> </w:t>
      </w:r>
    </w:p>
    <w:p w:rsidR="00A8592E" w:rsidRPr="00A8592E" w:rsidRDefault="00597E28" w:rsidP="00A8592E">
      <w:pPr>
        <w:ind w:left="2832" w:hanging="2832"/>
        <w:rPr>
          <w:rFonts w:cs="Arial"/>
          <w:szCs w:val="21"/>
        </w:rPr>
      </w:pPr>
      <w:r>
        <w:rPr>
          <w:rFonts w:cs="Arial"/>
          <w:szCs w:val="21"/>
        </w:rPr>
        <w:t xml:space="preserve">-&gt; aktivierter Erdspeicher von </w:t>
      </w:r>
      <w:r w:rsidR="00A8592E" w:rsidRPr="00A8592E">
        <w:rPr>
          <w:rFonts w:cs="Arial"/>
          <w:szCs w:val="21"/>
        </w:rPr>
        <w:t>3000m³)</w:t>
      </w:r>
    </w:p>
    <w:p w:rsidR="00A8592E" w:rsidRPr="00A8592E" w:rsidRDefault="00A8592E" w:rsidP="00A8592E">
      <w:pPr>
        <w:ind w:left="2832" w:hanging="2832"/>
        <w:rPr>
          <w:rFonts w:cs="Arial"/>
          <w:szCs w:val="21"/>
          <w:lang w:val="en-US"/>
        </w:rPr>
      </w:pPr>
      <w:proofErr w:type="spellStart"/>
      <w:proofErr w:type="gramStart"/>
      <w:r w:rsidRPr="00A8592E">
        <w:rPr>
          <w:rFonts w:cs="Arial"/>
          <w:i/>
          <w:szCs w:val="21"/>
          <w:lang w:val="en-US"/>
        </w:rPr>
        <w:t>Photovoltaik</w:t>
      </w:r>
      <w:proofErr w:type="spellEnd"/>
      <w:r w:rsidRPr="00A8592E">
        <w:rPr>
          <w:rFonts w:cs="Arial"/>
          <w:i/>
          <w:szCs w:val="21"/>
          <w:lang w:val="en-US"/>
        </w:rPr>
        <w:t xml:space="preserve">  </w:t>
      </w:r>
      <w:r w:rsidRPr="00A8592E">
        <w:rPr>
          <w:rFonts w:cs="Arial"/>
          <w:szCs w:val="21"/>
          <w:lang w:val="en-US"/>
        </w:rPr>
        <w:t>(</w:t>
      </w:r>
      <w:proofErr w:type="gramEnd"/>
      <w:r w:rsidRPr="00A8592E">
        <w:rPr>
          <w:rFonts w:cs="Arial"/>
          <w:szCs w:val="21"/>
          <w:lang w:val="en-US"/>
        </w:rPr>
        <w:t>ca. 150m²)</w:t>
      </w:r>
    </w:p>
    <w:p w:rsidR="00A8592E" w:rsidRPr="00A8592E" w:rsidRDefault="00A8592E" w:rsidP="00597E28">
      <w:pPr>
        <w:ind w:left="2832" w:hanging="2832"/>
        <w:rPr>
          <w:rFonts w:cs="Arial"/>
          <w:szCs w:val="21"/>
        </w:rPr>
      </w:pPr>
      <w:proofErr w:type="spellStart"/>
      <w:r w:rsidRPr="00A8592E">
        <w:rPr>
          <w:rFonts w:cs="Arial"/>
          <w:i/>
          <w:szCs w:val="21"/>
          <w:lang w:val="en-US"/>
        </w:rPr>
        <w:t>Solartherme</w:t>
      </w:r>
      <w:proofErr w:type="spellEnd"/>
      <w:r w:rsidRPr="00A8592E">
        <w:rPr>
          <w:rFonts w:cs="Arial"/>
          <w:szCs w:val="21"/>
          <w:lang w:val="en-US"/>
        </w:rPr>
        <w:t xml:space="preserve"> (150m² therm. </w:t>
      </w:r>
      <w:r w:rsidRPr="00A8592E">
        <w:rPr>
          <w:rFonts w:cs="Arial"/>
          <w:szCs w:val="21"/>
        </w:rPr>
        <w:t>Kollektoren, 150m² Hybridkollektoren)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b/>
          <w:szCs w:val="21"/>
        </w:rPr>
        <w:lastRenderedPageBreak/>
        <w:t xml:space="preserve">Vorgerichtetes </w:t>
      </w:r>
      <w:proofErr w:type="spellStart"/>
      <w:r w:rsidRPr="00A8592E">
        <w:rPr>
          <w:rFonts w:cs="Arial"/>
          <w:b/>
          <w:szCs w:val="21"/>
        </w:rPr>
        <w:t>Energiemonitoring</w:t>
      </w:r>
      <w:proofErr w:type="spellEnd"/>
      <w:r w:rsidRPr="00A8592E">
        <w:rPr>
          <w:rFonts w:cs="Arial"/>
          <w:b/>
          <w:szCs w:val="21"/>
        </w:rPr>
        <w:t xml:space="preserve"> in jeder Wohnung.</w:t>
      </w:r>
      <w:r w:rsidRPr="00A8592E">
        <w:rPr>
          <w:rFonts w:cs="Arial"/>
          <w:szCs w:val="21"/>
        </w:rPr>
        <w:t xml:space="preserve"> 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>Vergleichs- und Verbraucherdaten sollten zur</w:t>
      </w:r>
      <w:r w:rsidR="00597E28">
        <w:rPr>
          <w:rFonts w:cs="Arial"/>
          <w:szCs w:val="21"/>
        </w:rPr>
        <w:t xml:space="preserve"> Effizienzsteigerung </w:t>
      </w:r>
    </w:p>
    <w:p w:rsidR="00597E28" w:rsidRDefault="00597E28" w:rsidP="00597E28">
      <w:pPr>
        <w:ind w:left="2832" w:hanging="2832"/>
        <w:rPr>
          <w:rFonts w:cs="Arial"/>
          <w:szCs w:val="21"/>
        </w:rPr>
      </w:pPr>
      <w:r>
        <w:rPr>
          <w:rFonts w:cs="Arial"/>
          <w:szCs w:val="21"/>
        </w:rPr>
        <w:t xml:space="preserve">der </w:t>
      </w:r>
      <w:r w:rsidR="00A8592E" w:rsidRPr="00A8592E">
        <w:rPr>
          <w:rFonts w:cs="Arial"/>
          <w:szCs w:val="21"/>
        </w:rPr>
        <w:t xml:space="preserve">verschiedenen Systeme und Energieeinsparungen führen. 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>Den Kunden zur Verfügung geste</w:t>
      </w:r>
      <w:r w:rsidR="00597E28">
        <w:rPr>
          <w:rFonts w:cs="Arial"/>
          <w:szCs w:val="21"/>
        </w:rPr>
        <w:t xml:space="preserve">llte Verbrauchsdaten sollen zur 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Bewusstseinsbildung des eigenen Energieverbrauchs beitragen. 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>Falls Erdspeicher, Solaranlage und Abwärme Tiefgarage</w:t>
      </w:r>
      <w:r w:rsidR="00597E28">
        <w:rPr>
          <w:rFonts w:cs="Arial"/>
          <w:szCs w:val="21"/>
        </w:rPr>
        <w:t xml:space="preserve"> keine effiziente </w:t>
      </w:r>
    </w:p>
    <w:p w:rsidR="00597E28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>Primärenergie liefern, wird die</w:t>
      </w:r>
      <w:r w:rsidR="00597E28">
        <w:rPr>
          <w:rFonts w:cs="Arial"/>
          <w:szCs w:val="21"/>
        </w:rPr>
        <w:t xml:space="preserve"> gesamte Heizleistung durch die </w:t>
      </w:r>
    </w:p>
    <w:p w:rsidR="00A8592E" w:rsidRPr="00A8592E" w:rsidRDefault="00A8592E" w:rsidP="00597E28">
      <w:pPr>
        <w:ind w:left="2832" w:hanging="2832"/>
        <w:rPr>
          <w:rFonts w:cs="Arial"/>
          <w:szCs w:val="21"/>
        </w:rPr>
      </w:pPr>
      <w:r w:rsidRPr="00A8592E">
        <w:rPr>
          <w:rFonts w:cs="Arial"/>
          <w:szCs w:val="21"/>
        </w:rPr>
        <w:t xml:space="preserve">Brunnenwärmpumpen abgedeckt. 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A8592E" w:rsidRPr="00A8592E" w:rsidRDefault="00A8592E" w:rsidP="00A8592E">
      <w:pPr>
        <w:rPr>
          <w:rFonts w:cs="Arial"/>
          <w:b/>
          <w:szCs w:val="21"/>
        </w:rPr>
      </w:pPr>
      <w:r w:rsidRPr="00A8592E">
        <w:rPr>
          <w:rFonts w:cs="Arial"/>
          <w:b/>
          <w:szCs w:val="21"/>
        </w:rPr>
        <w:t>Energiekennzahlen: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U-Wert Außenwand (Holzschalung) = 0,20 W/( m²K)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U-Wert Dach = 0,18 W/(m²K)</w:t>
      </w:r>
    </w:p>
    <w:p w:rsidR="00A8592E" w:rsidRPr="00A8592E" w:rsidRDefault="00A8592E" w:rsidP="00A8592E">
      <w:pPr>
        <w:rPr>
          <w:rFonts w:cs="Arial"/>
          <w:szCs w:val="21"/>
        </w:rPr>
      </w:pPr>
      <w:proofErr w:type="spellStart"/>
      <w:r w:rsidRPr="00A8592E">
        <w:rPr>
          <w:rFonts w:cs="Arial"/>
          <w:szCs w:val="21"/>
        </w:rPr>
        <w:t>U</w:t>
      </w:r>
      <w:r w:rsidRPr="00A8592E">
        <w:rPr>
          <w:rFonts w:cs="Arial"/>
          <w:szCs w:val="21"/>
          <w:vertAlign w:val="subscript"/>
        </w:rPr>
        <w:t>w</w:t>
      </w:r>
      <w:proofErr w:type="spellEnd"/>
      <w:r w:rsidRPr="00A8592E">
        <w:rPr>
          <w:rFonts w:cs="Arial"/>
          <w:szCs w:val="21"/>
        </w:rPr>
        <w:t>-Wert Fenster = 0,8 W/(m²K)</w:t>
      </w:r>
    </w:p>
    <w:p w:rsidR="00A8592E" w:rsidRPr="00A8592E" w:rsidRDefault="00A8592E" w:rsidP="00A8592E">
      <w:pPr>
        <w:rPr>
          <w:rFonts w:cs="Arial"/>
          <w:szCs w:val="21"/>
        </w:rPr>
      </w:pPr>
      <w:proofErr w:type="spellStart"/>
      <w:r w:rsidRPr="00A8592E">
        <w:rPr>
          <w:rFonts w:cs="Arial"/>
          <w:szCs w:val="21"/>
        </w:rPr>
        <w:t>U</w:t>
      </w:r>
      <w:r w:rsidRPr="00A8592E">
        <w:rPr>
          <w:rFonts w:cs="Arial"/>
          <w:szCs w:val="21"/>
          <w:vertAlign w:val="subscript"/>
        </w:rPr>
        <w:t>g</w:t>
      </w:r>
      <w:proofErr w:type="spellEnd"/>
      <w:r w:rsidRPr="00A8592E">
        <w:rPr>
          <w:rFonts w:cs="Arial"/>
          <w:szCs w:val="21"/>
        </w:rPr>
        <w:t>-Wert Verglasung = 0,5-0,7 W/(m²K)</w:t>
      </w:r>
    </w:p>
    <w:p w:rsidR="00A8592E" w:rsidRPr="00A8592E" w:rsidRDefault="00A8592E" w:rsidP="00A8592E">
      <w:pPr>
        <w:rPr>
          <w:rFonts w:cs="Arial"/>
          <w:szCs w:val="21"/>
        </w:rPr>
      </w:pPr>
      <w:r w:rsidRPr="00A8592E">
        <w:rPr>
          <w:rFonts w:cs="Arial"/>
          <w:szCs w:val="21"/>
        </w:rPr>
        <w:t>Luftwechselrate n</w:t>
      </w:r>
      <w:r w:rsidRPr="00A8592E">
        <w:rPr>
          <w:rFonts w:cs="Arial"/>
          <w:szCs w:val="21"/>
          <w:vertAlign w:val="subscript"/>
        </w:rPr>
        <w:t>50</w:t>
      </w:r>
      <w:r w:rsidRPr="00A8592E">
        <w:rPr>
          <w:rFonts w:cs="Arial"/>
          <w:szCs w:val="21"/>
        </w:rPr>
        <w:t xml:space="preserve"> = 1,0/h</w:t>
      </w:r>
    </w:p>
    <w:p w:rsidR="00A8592E" w:rsidRPr="00A8592E" w:rsidRDefault="00A8592E" w:rsidP="00A8592E">
      <w:pPr>
        <w:rPr>
          <w:rFonts w:cs="Arial"/>
          <w:szCs w:val="21"/>
        </w:rPr>
      </w:pPr>
    </w:p>
    <w:p w:rsidR="00033994" w:rsidRPr="00A8592E" w:rsidRDefault="00033994" w:rsidP="00AB24CB">
      <w:pPr>
        <w:rPr>
          <w:rFonts w:cs="Arial"/>
          <w:szCs w:val="21"/>
          <w:lang w:bidi="de-DE"/>
        </w:rPr>
      </w:pPr>
      <w:bookmarkStart w:id="0" w:name="_GoBack"/>
      <w:bookmarkEnd w:id="0"/>
    </w:p>
    <w:p w:rsidR="00B41878" w:rsidRPr="00A8592E" w:rsidRDefault="00B41878" w:rsidP="00B41878">
      <w:pPr>
        <w:rPr>
          <w:rFonts w:cs="Arial"/>
          <w:szCs w:val="21"/>
        </w:rPr>
      </w:pPr>
      <w:r w:rsidRPr="00A8592E">
        <w:rPr>
          <w:rFonts w:cs="Arial"/>
          <w:b/>
          <w:szCs w:val="21"/>
        </w:rPr>
        <w:t>PRESSE KONTAKT</w:t>
      </w:r>
      <w:r w:rsidRPr="00A8592E">
        <w:rPr>
          <w:rFonts w:cs="Arial"/>
          <w:b/>
          <w:szCs w:val="21"/>
        </w:rPr>
        <w:br/>
      </w:r>
      <w:r w:rsidRPr="00A8592E">
        <w:rPr>
          <w:rFonts w:cs="Arial"/>
          <w:szCs w:val="21"/>
        </w:rPr>
        <w:t>a b c works</w:t>
      </w:r>
    </w:p>
    <w:p w:rsidR="00B41878" w:rsidRPr="00A8592E" w:rsidRDefault="00B41878" w:rsidP="00B41878">
      <w:pPr>
        <w:rPr>
          <w:rFonts w:cs="Arial"/>
          <w:szCs w:val="21"/>
        </w:rPr>
      </w:pPr>
      <w:r w:rsidRPr="00A8592E">
        <w:rPr>
          <w:rFonts w:cs="Arial"/>
          <w:szCs w:val="21"/>
        </w:rPr>
        <w:t>Ana Berlin + Team</w:t>
      </w:r>
      <w:r w:rsidRPr="00A8592E">
        <w:rPr>
          <w:rFonts w:cs="Arial"/>
          <w:szCs w:val="21"/>
        </w:rPr>
        <w:br/>
      </w:r>
      <w:hyperlink r:id="rId8" w:history="1">
        <w:r w:rsidRPr="00A8592E">
          <w:rPr>
            <w:rStyle w:val="Hyperlink"/>
            <w:rFonts w:cs="Arial"/>
            <w:szCs w:val="21"/>
          </w:rPr>
          <w:t>hello@abc-works.today</w:t>
        </w:r>
      </w:hyperlink>
      <w:r w:rsidRPr="00A8592E">
        <w:rPr>
          <w:rFonts w:cs="Arial"/>
          <w:szCs w:val="21"/>
        </w:rPr>
        <w:br/>
        <w:t>+43 (0) 660 47 53 818</w:t>
      </w:r>
    </w:p>
    <w:p w:rsidR="00B41878" w:rsidRPr="00A8592E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</w:p>
    <w:p w:rsidR="00B41878" w:rsidRPr="00A8592E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b/>
          <w:sz w:val="21"/>
          <w:szCs w:val="21"/>
        </w:rPr>
      </w:pPr>
      <w:r w:rsidRPr="00A8592E">
        <w:rPr>
          <w:rFonts w:ascii="Arial" w:hAnsi="Arial" w:cs="Arial"/>
          <w:b/>
          <w:sz w:val="21"/>
          <w:szCs w:val="21"/>
        </w:rPr>
        <w:t xml:space="preserve">KONTAKT Berger+Parkkinen </w:t>
      </w:r>
    </w:p>
    <w:p w:rsidR="00B41878" w:rsidRPr="00A8592E" w:rsidRDefault="00B759ED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r w:rsidRPr="00A8592E">
        <w:rPr>
          <w:rFonts w:ascii="Arial" w:hAnsi="Arial" w:cs="Arial"/>
          <w:sz w:val="21"/>
          <w:szCs w:val="21"/>
        </w:rPr>
        <w:t>Christina Wintersteiger</w:t>
      </w:r>
    </w:p>
    <w:p w:rsidR="00B41878" w:rsidRPr="00A8592E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r w:rsidRPr="00A8592E">
        <w:rPr>
          <w:rFonts w:ascii="Arial" w:hAnsi="Arial" w:cs="Arial"/>
          <w:sz w:val="21"/>
          <w:szCs w:val="21"/>
        </w:rPr>
        <w:t xml:space="preserve">Berger+Parkkinen Associated </w:t>
      </w:r>
      <w:proofErr w:type="spellStart"/>
      <w:r w:rsidRPr="00A8592E">
        <w:rPr>
          <w:rFonts w:ascii="Arial" w:hAnsi="Arial" w:cs="Arial"/>
          <w:sz w:val="21"/>
          <w:szCs w:val="21"/>
        </w:rPr>
        <w:t>Architects</w:t>
      </w:r>
      <w:proofErr w:type="spellEnd"/>
    </w:p>
    <w:p w:rsidR="00B41878" w:rsidRPr="00A8592E" w:rsidRDefault="00B41878" w:rsidP="00B41878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proofErr w:type="spellStart"/>
      <w:r w:rsidRPr="00A8592E">
        <w:rPr>
          <w:rFonts w:ascii="Arial" w:hAnsi="Arial" w:cs="Arial"/>
          <w:sz w:val="21"/>
          <w:szCs w:val="21"/>
        </w:rPr>
        <w:t>Schönbrunner</w:t>
      </w:r>
      <w:proofErr w:type="spellEnd"/>
      <w:r w:rsidRPr="00A8592E">
        <w:rPr>
          <w:rFonts w:ascii="Arial" w:hAnsi="Arial" w:cs="Arial"/>
          <w:sz w:val="21"/>
          <w:szCs w:val="21"/>
        </w:rPr>
        <w:t xml:space="preserve"> Straße 213-215, 1120 Wien</w:t>
      </w:r>
    </w:p>
    <w:p w:rsidR="00DD62B2" w:rsidRPr="00A8592E" w:rsidRDefault="00671AA3" w:rsidP="00DD62B2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hyperlink r:id="rId9" w:history="1">
        <w:r w:rsidR="006E3F3B" w:rsidRPr="00A8592E">
          <w:rPr>
            <w:rStyle w:val="Hyperlink"/>
            <w:rFonts w:ascii="Arial" w:hAnsi="Arial" w:cs="Arial"/>
            <w:sz w:val="21"/>
            <w:szCs w:val="21"/>
          </w:rPr>
          <w:t>press@berger-parkkinen.com</w:t>
        </w:r>
      </w:hyperlink>
    </w:p>
    <w:p w:rsidR="00C84601" w:rsidRPr="00A8592E" w:rsidRDefault="00DD62B2" w:rsidP="00DD62B2">
      <w:pPr>
        <w:pStyle w:val="StandardWeb"/>
        <w:spacing w:before="0" w:beforeAutospacing="0" w:after="0" w:afterAutospacing="0" w:line="288" w:lineRule="auto"/>
        <w:rPr>
          <w:rFonts w:ascii="Arial" w:hAnsi="Arial" w:cs="Arial"/>
          <w:sz w:val="21"/>
          <w:szCs w:val="21"/>
        </w:rPr>
      </w:pPr>
      <w:r w:rsidRPr="00A8592E">
        <w:rPr>
          <w:rFonts w:ascii="Arial" w:hAnsi="Arial" w:cs="Arial"/>
          <w:sz w:val="21"/>
          <w:szCs w:val="21"/>
          <w:lang w:val="en-GB"/>
        </w:rPr>
        <w:t>+43 1 581 49 35-21</w:t>
      </w:r>
    </w:p>
    <w:sectPr w:rsidR="00C84601" w:rsidRPr="00A8592E" w:rsidSect="007A27B8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988" w:right="2826" w:bottom="2790" w:left="1277" w:header="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56EC" w:rsidRDefault="00FE56EC" w:rsidP="009D1F88">
      <w:pPr>
        <w:spacing w:line="240" w:lineRule="auto"/>
      </w:pPr>
      <w:r>
        <w:separator/>
      </w:r>
    </w:p>
  </w:endnote>
  <w:endnote w:type="continuationSeparator" w:id="0">
    <w:p w:rsidR="00FE56EC" w:rsidRDefault="00FE56EC" w:rsidP="009D1F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DIN Offc">
    <w:altName w:val="Arial"/>
    <w:panose1 w:val="020B0504020101020102"/>
    <w:charset w:val="00"/>
    <w:family w:val="swiss"/>
    <w:pitch w:val="variable"/>
    <w:sig w:usb0="800000AF" w:usb1="4000207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Seitenzahl"/>
      </w:rPr>
      <w:id w:val="-1550605547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:rsidR="00650FAF" w:rsidRDefault="008C038B" w:rsidP="00585C20">
        <w:pPr>
          <w:pStyle w:val="Fuzeile"/>
          <w:framePr w:wrap="none" w:vAnchor="text" w:hAnchor="margin" w:y="1"/>
          <w:rPr>
            <w:rStyle w:val="Seitenzahl"/>
          </w:rPr>
        </w:pPr>
        <w:r>
          <w:rPr>
            <w:rStyle w:val="Seitenzahl"/>
          </w:rPr>
          <w:fldChar w:fldCharType="begin"/>
        </w:r>
        <w:r w:rsidR="00650FAF"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end"/>
        </w:r>
      </w:p>
    </w:sdtContent>
  </w:sdt>
  <w:p w:rsidR="00650FAF" w:rsidRDefault="00650FAF" w:rsidP="00C84601">
    <w:pPr>
      <w:pStyle w:val="Fuzeile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284" w:rightFromText="142" w:vertAnchor="page" w:horzAnchor="page" w:tblpY="15027"/>
      <w:tblOverlap w:val="never"/>
      <w:tblW w:w="328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  <w:gridCol w:w="2835"/>
    </w:tblGrid>
    <w:tr w:rsidR="00650FAF" w:rsidTr="00C84601">
      <w:trPr>
        <w:trHeight w:val="1202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  <w:ind w:firstLine="360"/>
          </w:pPr>
        </w:p>
      </w:tc>
      <w:tc>
        <w:tcPr>
          <w:tcW w:w="2835" w:type="dxa"/>
        </w:tcPr>
        <w:p w:rsidR="00650FAF" w:rsidRDefault="00650FAF" w:rsidP="00C84601">
          <w:pPr>
            <w:pStyle w:val="KeinLeerraum"/>
          </w:pPr>
        </w:p>
        <w:p w:rsidR="00650FAF" w:rsidRPr="001C6631" w:rsidRDefault="00650FAF" w:rsidP="00C84601">
          <w:pPr>
            <w:pStyle w:val="KeinLeerraum"/>
          </w:pPr>
          <w:r>
            <w:br/>
            <w:t xml:space="preserve">Seite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PAGE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2</w:t>
          </w:r>
          <w:r w:rsidR="00FE56EC">
            <w:rPr>
              <w:noProof/>
            </w:rPr>
            <w:fldChar w:fldCharType="end"/>
          </w:r>
          <w:r>
            <w:t xml:space="preserve"> / </w:t>
          </w:r>
          <w:r w:rsidR="00FE56EC">
            <w:rPr>
              <w:noProof/>
            </w:rPr>
            <w:fldChar w:fldCharType="begin"/>
          </w:r>
          <w:r w:rsidR="00FE56EC">
            <w:rPr>
              <w:noProof/>
            </w:rPr>
            <w:instrText xml:space="preserve"> NUMPAGES  \* MERGEFORMAT </w:instrText>
          </w:r>
          <w:r w:rsidR="00FE56EC">
            <w:rPr>
              <w:noProof/>
            </w:rPr>
            <w:fldChar w:fldCharType="separate"/>
          </w:r>
          <w:r w:rsidR="00671AA3">
            <w:rPr>
              <w:noProof/>
            </w:rPr>
            <w:t>3</w:t>
          </w:r>
          <w:r w:rsidR="00FE56EC">
            <w:rPr>
              <w:noProof/>
            </w:rPr>
            <w:fldChar w:fldCharType="end"/>
          </w:r>
        </w:p>
      </w:tc>
    </w:tr>
  </w:tbl>
  <w:p w:rsidR="00650FAF" w:rsidRDefault="00650FAF" w:rsidP="00C84601">
    <w:pPr>
      <w:pStyle w:val="KeinLeerraum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pPr w:leftFromText="284" w:rightFromText="142" w:vertAnchor="page" w:horzAnchor="page" w:tblpY="15027"/>
      <w:tblOverlap w:val="never"/>
      <w:tblW w:w="45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54"/>
    </w:tblGrid>
    <w:tr w:rsidR="00650FAF" w:rsidTr="00033994">
      <w:trPr>
        <w:trHeight w:val="61"/>
      </w:trPr>
      <w:tc>
        <w:tcPr>
          <w:tcW w:w="454" w:type="dxa"/>
        </w:tcPr>
        <w:p w:rsidR="00650FAF" w:rsidRPr="001C6631" w:rsidRDefault="00650FAF" w:rsidP="00C84601">
          <w:pPr>
            <w:pStyle w:val="KeinLeerraum"/>
          </w:pPr>
        </w:p>
      </w:tc>
    </w:tr>
  </w:tbl>
  <w:p w:rsidR="00650FAF" w:rsidRDefault="00650FA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56EC" w:rsidRDefault="00FE56EC" w:rsidP="009D1F88">
      <w:pPr>
        <w:spacing w:line="240" w:lineRule="auto"/>
      </w:pPr>
      <w:r>
        <w:separator/>
      </w:r>
    </w:p>
  </w:footnote>
  <w:footnote w:type="continuationSeparator" w:id="0">
    <w:p w:rsidR="00FE56EC" w:rsidRDefault="00FE56EC" w:rsidP="009D1F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FAF" w:rsidRDefault="00650FAF" w:rsidP="00CB6CDD">
    <w:pPr>
      <w:tabs>
        <w:tab w:val="left" w:pos="851"/>
      </w:tabs>
      <w:ind w:left="1134" w:hanging="1134"/>
    </w:pPr>
    <w:r w:rsidRPr="000B45DA">
      <w:rPr>
        <w:noProof/>
        <w:lang w:val="de-DE" w:eastAsia="de-DE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FAF" w:rsidRDefault="00650FAF">
    <w:pPr>
      <w:pStyle w:val="Kopfzeile"/>
    </w:pPr>
    <w:r w:rsidRPr="000B45DA">
      <w:rPr>
        <w:noProof/>
        <w:lang w:val="de-DE" w:eastAsia="de-DE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-528955</wp:posOffset>
          </wp:positionH>
          <wp:positionV relativeFrom="paragraph">
            <wp:posOffset>273685</wp:posOffset>
          </wp:positionV>
          <wp:extent cx="7045200" cy="1292400"/>
          <wp:effectExtent l="0" t="0" r="3810" b="3175"/>
          <wp:wrapTopAndBottom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45200" cy="1292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923E14"/>
    <w:multiLevelType w:val="hybridMultilevel"/>
    <w:tmpl w:val="364EA10E"/>
    <w:lvl w:ilvl="0" w:tplc="0407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1AC67FB0">
      <w:start w:val="9"/>
      <w:numFmt w:val="bullet"/>
      <w:lvlText w:val=""/>
      <w:lvlJc w:val="left"/>
      <w:pPr>
        <w:ind w:left="2586" w:hanging="360"/>
      </w:pPr>
      <w:rPr>
        <w:rFonts w:ascii="Wingdings" w:eastAsiaTheme="minorHAnsi" w:hAnsi="Wingdings" w:cstheme="minorHAnsi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936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F88"/>
    <w:rsid w:val="00010C8B"/>
    <w:rsid w:val="00017EC5"/>
    <w:rsid w:val="00031AEB"/>
    <w:rsid w:val="00033994"/>
    <w:rsid w:val="000367F7"/>
    <w:rsid w:val="000401CA"/>
    <w:rsid w:val="00086453"/>
    <w:rsid w:val="000B49B0"/>
    <w:rsid w:val="00144EA4"/>
    <w:rsid w:val="001A6E0D"/>
    <w:rsid w:val="001C6631"/>
    <w:rsid w:val="001D15B1"/>
    <w:rsid w:val="001D4CE7"/>
    <w:rsid w:val="002121DC"/>
    <w:rsid w:val="00282029"/>
    <w:rsid w:val="002B579A"/>
    <w:rsid w:val="002F12C4"/>
    <w:rsid w:val="00331B07"/>
    <w:rsid w:val="00340A4E"/>
    <w:rsid w:val="00357A8D"/>
    <w:rsid w:val="00371DD7"/>
    <w:rsid w:val="00393DE9"/>
    <w:rsid w:val="003A770B"/>
    <w:rsid w:val="0042435F"/>
    <w:rsid w:val="004331AD"/>
    <w:rsid w:val="00436911"/>
    <w:rsid w:val="004617D0"/>
    <w:rsid w:val="004A372C"/>
    <w:rsid w:val="004B29BA"/>
    <w:rsid w:val="004F3064"/>
    <w:rsid w:val="00566213"/>
    <w:rsid w:val="00585C20"/>
    <w:rsid w:val="00597E28"/>
    <w:rsid w:val="00616B84"/>
    <w:rsid w:val="00650FAF"/>
    <w:rsid w:val="00671AA3"/>
    <w:rsid w:val="0069559B"/>
    <w:rsid w:val="006E3F3B"/>
    <w:rsid w:val="0072561B"/>
    <w:rsid w:val="00740B73"/>
    <w:rsid w:val="00786A42"/>
    <w:rsid w:val="0079709E"/>
    <w:rsid w:val="007A27B8"/>
    <w:rsid w:val="007F2CCD"/>
    <w:rsid w:val="007F4821"/>
    <w:rsid w:val="008125F0"/>
    <w:rsid w:val="00851872"/>
    <w:rsid w:val="00862B9C"/>
    <w:rsid w:val="00875FE2"/>
    <w:rsid w:val="008C038B"/>
    <w:rsid w:val="008F2913"/>
    <w:rsid w:val="00911CDE"/>
    <w:rsid w:val="009312C9"/>
    <w:rsid w:val="00985F1C"/>
    <w:rsid w:val="00996243"/>
    <w:rsid w:val="009B666E"/>
    <w:rsid w:val="009D1F88"/>
    <w:rsid w:val="00A602E9"/>
    <w:rsid w:val="00A8592E"/>
    <w:rsid w:val="00A85BA2"/>
    <w:rsid w:val="00A93572"/>
    <w:rsid w:val="00AB24CB"/>
    <w:rsid w:val="00AB347C"/>
    <w:rsid w:val="00AC0F7D"/>
    <w:rsid w:val="00AE7AB4"/>
    <w:rsid w:val="00AF5F5C"/>
    <w:rsid w:val="00B3324A"/>
    <w:rsid w:val="00B41878"/>
    <w:rsid w:val="00B759ED"/>
    <w:rsid w:val="00BA10CB"/>
    <w:rsid w:val="00C51269"/>
    <w:rsid w:val="00C84601"/>
    <w:rsid w:val="00CB6CDD"/>
    <w:rsid w:val="00D32239"/>
    <w:rsid w:val="00D54E2C"/>
    <w:rsid w:val="00D56702"/>
    <w:rsid w:val="00D82F66"/>
    <w:rsid w:val="00DA382B"/>
    <w:rsid w:val="00DD62B2"/>
    <w:rsid w:val="00E0006A"/>
    <w:rsid w:val="00E27B95"/>
    <w:rsid w:val="00E83034"/>
    <w:rsid w:val="00E872A5"/>
    <w:rsid w:val="00EE15EC"/>
    <w:rsid w:val="00EE49B3"/>
    <w:rsid w:val="00F20369"/>
    <w:rsid w:val="00F77299"/>
    <w:rsid w:val="00FB3060"/>
    <w:rsid w:val="00FD3033"/>
    <w:rsid w:val="00FE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7D854876-32AE-684F-8476-D5CE9ED42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54E2C"/>
    <w:pPr>
      <w:spacing w:line="288" w:lineRule="auto"/>
    </w:pPr>
    <w:rPr>
      <w:rFonts w:ascii="Arial" w:hAnsi="Arial"/>
      <w:color w:val="000000" w:themeColor="text1"/>
      <w:sz w:val="21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82029"/>
    <w:pPr>
      <w:ind w:left="851" w:right="2407"/>
      <w:outlineLvl w:val="0"/>
    </w:pPr>
  </w:style>
  <w:style w:type="paragraph" w:styleId="berschrift2">
    <w:name w:val="heading 2"/>
    <w:basedOn w:val="berschrift1"/>
    <w:next w:val="Standard"/>
    <w:link w:val="berschrift2Zchn"/>
    <w:uiPriority w:val="9"/>
    <w:unhideWhenUsed/>
    <w:qFormat/>
    <w:rsid w:val="00282029"/>
    <w:pPr>
      <w:outlineLvl w:val="1"/>
    </w:pPr>
  </w:style>
  <w:style w:type="paragraph" w:styleId="berschrift3">
    <w:name w:val="heading 3"/>
    <w:basedOn w:val="berschrift1"/>
    <w:next w:val="Standard"/>
    <w:link w:val="berschrift3Zchn"/>
    <w:uiPriority w:val="9"/>
    <w:unhideWhenUsed/>
    <w:rsid w:val="00282029"/>
    <w:pPr>
      <w:outlineLvl w:val="2"/>
    </w:pPr>
  </w:style>
  <w:style w:type="paragraph" w:styleId="berschrift4">
    <w:name w:val="heading 4"/>
    <w:basedOn w:val="berschrift3"/>
    <w:next w:val="Standard"/>
    <w:link w:val="berschrift4Zchn"/>
    <w:uiPriority w:val="9"/>
    <w:unhideWhenUsed/>
    <w:rsid w:val="00282029"/>
    <w:pPr>
      <w:outlineLvl w:val="3"/>
    </w:pPr>
  </w:style>
  <w:style w:type="paragraph" w:styleId="berschrift5">
    <w:name w:val="heading 5"/>
    <w:basedOn w:val="berschrift4"/>
    <w:next w:val="Standard"/>
    <w:link w:val="berschrift5Zchn"/>
    <w:uiPriority w:val="9"/>
    <w:unhideWhenUsed/>
    <w:rsid w:val="00282029"/>
    <w:pPr>
      <w:outlineLvl w:val="4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282029"/>
    <w:rPr>
      <w:rFonts w:ascii="Arial" w:hAnsi="Arial"/>
      <w:color w:val="000000" w:themeColor="text1"/>
      <w:sz w:val="21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82029"/>
    <w:rPr>
      <w:rFonts w:ascii="Arial" w:hAnsi="Arial"/>
      <w:color w:val="000000" w:themeColor="text1"/>
      <w:sz w:val="21"/>
    </w:rPr>
  </w:style>
  <w:style w:type="table" w:styleId="Tabellenraster">
    <w:name w:val="Table Grid"/>
    <w:basedOn w:val="NormaleTabelle"/>
    <w:uiPriority w:val="39"/>
    <w:rsid w:val="00D54E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aliases w:val="Standard-klein"/>
    <w:uiPriority w:val="1"/>
    <w:qFormat/>
    <w:rsid w:val="00D54E2C"/>
    <w:pPr>
      <w:spacing w:after="80" w:line="276" w:lineRule="auto"/>
    </w:pPr>
    <w:rPr>
      <w:rFonts w:ascii="Arial" w:hAnsi="Arial"/>
      <w:color w:val="000000" w:themeColor="text1"/>
      <w:sz w:val="16"/>
    </w:rPr>
  </w:style>
  <w:style w:type="paragraph" w:styleId="Kopfzeile">
    <w:name w:val="header"/>
    <w:basedOn w:val="Standard"/>
    <w:link w:val="Kopf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82029"/>
    <w:rPr>
      <w:rFonts w:ascii="Arial" w:hAnsi="Arial"/>
      <w:color w:val="000000" w:themeColor="text1"/>
      <w:sz w:val="21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51872"/>
    <w:rPr>
      <w:color w:val="605E5C"/>
      <w:shd w:val="clear" w:color="auto" w:fill="E1DFDD"/>
    </w:rPr>
  </w:style>
  <w:style w:type="paragraph" w:styleId="Fuzeile">
    <w:name w:val="footer"/>
    <w:basedOn w:val="Standard"/>
    <w:link w:val="FuzeileZchn"/>
    <w:uiPriority w:val="99"/>
    <w:unhideWhenUsed/>
    <w:rsid w:val="0028202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82029"/>
    <w:rPr>
      <w:rFonts w:ascii="Arial" w:hAnsi="Arial"/>
      <w:color w:val="000000" w:themeColor="text1"/>
      <w:sz w:val="21"/>
    </w:rPr>
  </w:style>
  <w:style w:type="paragraph" w:customStyle="1" w:styleId="EinfAbs">
    <w:name w:val="[Einf. Abs.]"/>
    <w:basedOn w:val="Standard"/>
    <w:uiPriority w:val="99"/>
    <w:rsid w:val="009312C9"/>
    <w:pPr>
      <w:autoSpaceDE w:val="0"/>
      <w:autoSpaceDN w:val="0"/>
      <w:adjustRightInd w:val="0"/>
      <w:textAlignment w:val="center"/>
    </w:pPr>
    <w:rPr>
      <w:rFonts w:ascii="MinionPro-Regular" w:hAnsi="MinionPro-Regular" w:cs="MinionPro-Regular"/>
      <w:color w:val="000000"/>
      <w:sz w:val="24"/>
      <w:lang w:val="de-DE"/>
    </w:rPr>
  </w:style>
  <w:style w:type="character" w:styleId="Seitenzahl">
    <w:name w:val="page number"/>
    <w:basedOn w:val="Absatz-Standardschriftart"/>
    <w:uiPriority w:val="99"/>
    <w:semiHidden/>
    <w:unhideWhenUsed/>
    <w:rsid w:val="00C84601"/>
  </w:style>
  <w:style w:type="paragraph" w:customStyle="1" w:styleId="CourierNew11ptBlock">
    <w:name w:val="Courier New 11 pt Block"/>
    <w:basedOn w:val="Standard"/>
    <w:link w:val="CourierNew11ptBlockChar"/>
    <w:rsid w:val="00033994"/>
    <w:pPr>
      <w:spacing w:before="120" w:after="120" w:line="240" w:lineRule="auto"/>
      <w:jc w:val="both"/>
    </w:pPr>
    <w:rPr>
      <w:rFonts w:ascii="Courier New" w:eastAsia="Times New Roman" w:hAnsi="Courier New" w:cs="Times New Roman"/>
      <w:color w:val="auto"/>
      <w:sz w:val="22"/>
      <w:szCs w:val="20"/>
      <w:lang w:val="de-DE" w:eastAsia="de-DE"/>
    </w:rPr>
  </w:style>
  <w:style w:type="character" w:customStyle="1" w:styleId="CourierNew11ptBlockChar">
    <w:name w:val="Courier New 11 pt Block Char"/>
    <w:basedOn w:val="Absatz-Standardschriftart"/>
    <w:link w:val="CourierNew11ptBlock"/>
    <w:rsid w:val="00033994"/>
    <w:rPr>
      <w:rFonts w:ascii="Courier New" w:eastAsia="Times New Roman" w:hAnsi="Courier New" w:cs="Times New Roman"/>
      <w:sz w:val="22"/>
      <w:szCs w:val="20"/>
      <w:lang w:val="de-DE" w:eastAsia="de-DE"/>
    </w:rPr>
  </w:style>
  <w:style w:type="paragraph" w:customStyle="1" w:styleId="Pa2">
    <w:name w:val="Pa2"/>
    <w:basedOn w:val="Standard"/>
    <w:next w:val="Standard"/>
    <w:uiPriority w:val="99"/>
    <w:rsid w:val="00033994"/>
    <w:pPr>
      <w:autoSpaceDE w:val="0"/>
      <w:autoSpaceDN w:val="0"/>
      <w:adjustRightInd w:val="0"/>
      <w:spacing w:line="241" w:lineRule="atLeast"/>
    </w:pPr>
    <w:rPr>
      <w:rFonts w:ascii="DIN Offc" w:eastAsia="Times New Roman" w:hAnsi="DIN Offc" w:cs="Times New Roman"/>
      <w:color w:val="auto"/>
      <w:sz w:val="24"/>
      <w:lang w:val="de-DE" w:eastAsia="de-AT"/>
    </w:rPr>
  </w:style>
  <w:style w:type="character" w:customStyle="1" w:styleId="A2">
    <w:name w:val="A2"/>
    <w:uiPriority w:val="99"/>
    <w:rsid w:val="00033994"/>
    <w:rPr>
      <w:rFonts w:cs="DIN Offc"/>
      <w:color w:val="221E1F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0339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val="de-DE" w:eastAsia="de-DE"/>
    </w:rPr>
  </w:style>
  <w:style w:type="character" w:styleId="Hyperlink">
    <w:name w:val="Hyperlink"/>
    <w:uiPriority w:val="99"/>
    <w:rsid w:val="00033994"/>
    <w:rPr>
      <w:color w:val="0000FF"/>
      <w:u w:val="single"/>
    </w:rPr>
  </w:style>
  <w:style w:type="character" w:customStyle="1" w:styleId="03Fliesstext">
    <w:name w:val="03_Fliesstext"/>
    <w:basedOn w:val="Absatz-Standardschriftart"/>
    <w:uiPriority w:val="99"/>
    <w:rsid w:val="00AB24CB"/>
    <w:rPr>
      <w:rFonts w:ascii="DIN Offc" w:hAnsi="DIN Offc" w:hint="default"/>
      <w:color w:val="000000"/>
    </w:rPr>
  </w:style>
  <w:style w:type="character" w:styleId="Fett">
    <w:name w:val="Strong"/>
    <w:basedOn w:val="Absatz-Standardschriftart"/>
    <w:uiPriority w:val="22"/>
    <w:qFormat/>
    <w:rsid w:val="00911CDE"/>
    <w:rPr>
      <w:b/>
      <w:bCs/>
    </w:rPr>
  </w:style>
  <w:style w:type="paragraph" w:styleId="Listenabsatz">
    <w:name w:val="List Paragraph"/>
    <w:basedOn w:val="Standard"/>
    <w:uiPriority w:val="34"/>
    <w:qFormat/>
    <w:rsid w:val="00B3324A"/>
    <w:pPr>
      <w:spacing w:after="160" w:line="259" w:lineRule="auto"/>
      <w:ind w:left="720"/>
      <w:contextualSpacing/>
    </w:pPr>
    <w:rPr>
      <w:rFonts w:asciiTheme="minorHAnsi" w:hAnsiTheme="minorHAnsi"/>
      <w:color w:val="auto"/>
      <w:sz w:val="22"/>
      <w:szCs w:val="22"/>
      <w:lang w:val="de-DE"/>
    </w:rPr>
  </w:style>
  <w:style w:type="character" w:customStyle="1" w:styleId="03Fliesstext01">
    <w:name w:val="03_Fliesstext_01"/>
    <w:basedOn w:val="Absatz-Standardschriftart"/>
    <w:uiPriority w:val="99"/>
    <w:rsid w:val="00A8592E"/>
    <w:rPr>
      <w:rFonts w:ascii="DIN Offc" w:hAnsi="DIN Offc" w:cs="DIN Offc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05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llo@abc-works.today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ress@berger-parkkinen.com" TargetMode="Externa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2897A6D-1AAB-4360-87AC-10C9FC9D6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Christina Wintersteiger | Berger+Parkkinen Arch.</cp:lastModifiedBy>
  <cp:revision>6</cp:revision>
  <cp:lastPrinted>2020-08-13T13:11:00Z</cp:lastPrinted>
  <dcterms:created xsi:type="dcterms:W3CDTF">2020-08-05T11:17:00Z</dcterms:created>
  <dcterms:modified xsi:type="dcterms:W3CDTF">2020-08-13T13:11:00Z</dcterms:modified>
</cp:coreProperties>
</file>